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427"/>
        <w:gridCol w:w="285"/>
        <w:gridCol w:w="4560"/>
        <w:gridCol w:w="570"/>
      </w:tblGrid>
      <w:tr w:rsidR="009D5EA1" w14:paraId="6CF71BD7" w14:textId="77777777" w:rsidTr="00243904"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F514938" w14:textId="77777777" w:rsidR="009D5EA1" w:rsidRDefault="009D5EA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Tätigkeit</w:t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A6417EF" w14:textId="202CBCBC" w:rsidR="009D5EA1" w:rsidRDefault="009D5EA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</w:p>
        </w:tc>
      </w:tr>
      <w:tr w:rsidR="00951FAE" w14:paraId="55112DB3" w14:textId="77777777"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F3F639" w14:textId="77777777" w:rsidR="007E5B12" w:rsidRDefault="005E42A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39D0EE" w14:textId="77777777" w:rsidR="007E5B12" w:rsidRDefault="005E42A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Tätigkeit...........................................</w:t>
            </w:r>
          </w:p>
        </w:tc>
      </w:tr>
      <w:tr w:rsidR="00951FAE" w14:paraId="69EB8F43" w14:textId="77777777">
        <w:trPr>
          <w:gridAfter w:val="3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313CE" w14:textId="77777777" w:rsidR="007E5B12" w:rsidRDefault="005E42A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218E0EA7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CE3FDD8" w14:textId="77777777" w:rsidR="007E5B12" w:rsidRDefault="005E42A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3F780820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D4E592" w14:textId="77777777" w:rsidR="007E5B12" w:rsidRDefault="005E42AB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caraform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</w:rPr>
              <w:t>citro</w:t>
            </w:r>
            <w:proofErr w:type="spellEnd"/>
          </w:p>
        </w:tc>
      </w:tr>
      <w:tr w:rsidR="00951FAE" w14:paraId="7BB2CE50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ADC97A7" w14:textId="77777777" w:rsidR="007E5B12" w:rsidRDefault="005E42A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für Mensch und Umwelt</w:t>
            </w:r>
          </w:p>
        </w:tc>
      </w:tr>
      <w:tr w:rsidR="00F81DEF" w14:paraId="78A65250" w14:textId="77777777" w:rsidTr="00B843F8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7316619" w14:textId="77777777" w:rsidR="00F81DEF" w:rsidRDefault="00F81DEF" w:rsidP="00F81DEF">
            <w:pPr>
              <w:pStyle w:val="LINXEMOVE2"/>
              <w:tabs>
                <w:tab w:val="clear" w:pos="4536"/>
                <w:tab w:val="clear" w:pos="907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47F34D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2" type="#_x0000_t75" style="width:56.45pt;height:56.45pt">
                  <v:imagedata r:id="rId9" o:title=""/>
                </v:shape>
              </w:pict>
            </w:r>
          </w:p>
        </w:tc>
        <w:tc>
          <w:tcPr>
            <w:tcW w:w="8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314850" w14:textId="77777777" w:rsidR="00F81DEF" w:rsidRDefault="00F81DEF" w:rsidP="00F81DE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</w:p>
          <w:p w14:paraId="765BFB66" w14:textId="253DB40E" w:rsidR="00F81DEF" w:rsidRDefault="00F81DEF" w:rsidP="00F81DE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H319</w:t>
            </w:r>
            <w:r>
              <w:rPr>
                <w:rFonts w:ascii="Arial" w:hAnsi="Arial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sz w:val="20"/>
              </w:rPr>
              <w:t>Verursacht</w:t>
            </w:r>
            <w:proofErr w:type="gramEnd"/>
            <w:r>
              <w:rPr>
                <w:rFonts w:ascii="Arial" w:hAnsi="Arial"/>
                <w:sz w:val="20"/>
              </w:rPr>
              <w:t xml:space="preserve"> schwere Augenreizung.</w:t>
            </w:r>
          </w:p>
          <w:p w14:paraId="15A1BB97" w14:textId="3C62615B" w:rsidR="00F81DEF" w:rsidRDefault="00F81DEF" w:rsidP="00F81DE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EUH208 Enthält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Reaktionsmasse aus 5-Chlor-2-methyl-4-isothiazolin-3-on [EG-Nr. 247-500-7] und 2-Methyl-4-isothiazolin-3-on [EG-Nr. 220-239-6] (3:1). </w:t>
            </w:r>
            <w:proofErr w:type="gramStart"/>
            <w:r>
              <w:rPr>
                <w:rFonts w:ascii="Arial" w:hAnsi="Arial"/>
                <w:sz w:val="20"/>
              </w:rPr>
              <w:t>Kann</w:t>
            </w:r>
            <w:proofErr w:type="gramEnd"/>
            <w:r>
              <w:rPr>
                <w:rFonts w:ascii="Arial" w:hAnsi="Arial"/>
                <w:sz w:val="20"/>
              </w:rPr>
              <w:t xml:space="preserve"> allergische Reaktionen hervorrufen.</w:t>
            </w:r>
          </w:p>
        </w:tc>
      </w:tr>
      <w:tr w:rsidR="00F81DEF" w14:paraId="49B4DCE8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AE68CD1" w14:textId="77777777" w:rsidR="00F81DEF" w:rsidRDefault="00F81DEF" w:rsidP="00F81DE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Schutzmaßnahmen und Verhaltensregeln</w:t>
            </w:r>
          </w:p>
        </w:tc>
      </w:tr>
      <w:tr w:rsidR="00F81DEF" w14:paraId="159AC04F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8B85DA" w14:textId="77777777" w:rsidR="00F81DEF" w:rsidRDefault="00F81DEF" w:rsidP="00F81DEF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5BF2BEF0">
                <v:shape id="_x0000_i1148" type="#_x0000_t75" style="width:56.45pt;height:56.4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0A93D72E">
                <v:shape id="_x0000_i1149" type="#_x0000_t75" style="width:56.45pt;height:56.45pt">
                  <v:imagedata r:id="rId11" o:title=""/>
                </v:shape>
              </w:pict>
            </w:r>
          </w:p>
        </w:tc>
      </w:tr>
      <w:tr w:rsidR="00F81DEF" w14:paraId="0E5E4AA7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D04E72" w14:textId="77777777" w:rsidR="00F81DEF" w:rsidRDefault="00F81DEF" w:rsidP="00F81D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Hygienemaßnahmen</w:t>
            </w:r>
          </w:p>
        </w:tc>
      </w:tr>
      <w:tr w:rsidR="00F81DEF" w14:paraId="2B4991E9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62970C" w14:textId="77777777" w:rsidR="00F81DEF" w:rsidRDefault="00F81DEF" w:rsidP="00F81D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Augenspülvorrichtung bereithalten. Gase/Dämpfe/Aerosole nicht einatmen. Berührung mit den Augen und der Haut vermeiden. Bei der Arbeit nicht rauchen, essen oder trinken. Vor den Pausen und bei Arbeitsende Hände waschen.</w:t>
            </w:r>
          </w:p>
        </w:tc>
      </w:tr>
      <w:tr w:rsidR="00F81DEF" w14:paraId="0A50E28A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6F565C" w14:textId="77777777" w:rsidR="00F81DEF" w:rsidRDefault="00F81DEF" w:rsidP="00F81D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Aerosolbildung vermeiden. Die beim Umgang mit Chemikalien üblichen Vorsichtsmaßnahmen sind zu beachten. Behälter dicht geschlossen halten.</w:t>
            </w:r>
          </w:p>
        </w:tc>
      </w:tr>
      <w:tr w:rsidR="00F81DEF" w14:paraId="584DE99F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0F76D0" w14:textId="77777777" w:rsidR="00F81DEF" w:rsidRDefault="00F81DEF" w:rsidP="00F81D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Schutzmaßnahmen zur Verhütung einer Exposition</w:t>
            </w:r>
          </w:p>
        </w:tc>
      </w:tr>
      <w:tr w:rsidR="00F81DEF" w14:paraId="198C78AC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084D5B" w14:textId="77777777" w:rsidR="00F81DEF" w:rsidRDefault="00F81DEF" w:rsidP="00F81D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F81DEF" w14:paraId="7CEF3A69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FE2571" w14:textId="77777777" w:rsidR="00F81DEF" w:rsidRDefault="00F81DEF" w:rsidP="00F81D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Persönliche Schutzausrüstungen</w:t>
            </w:r>
          </w:p>
        </w:tc>
      </w:tr>
      <w:tr w:rsidR="00F81DEF" w14:paraId="346F3A33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A0D099" w14:textId="77777777" w:rsidR="00F81DEF" w:rsidRDefault="00F81DEF" w:rsidP="00F81D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F81DEF" w14:paraId="0B19A6D1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188E59" w14:textId="77777777" w:rsidR="00F81DEF" w:rsidRDefault="00F81DEF" w:rsidP="00F81D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Chemikalienbeständige Handschuhe</w:t>
            </w:r>
          </w:p>
        </w:tc>
      </w:tr>
      <w:tr w:rsidR="00F81DEF" w14:paraId="0517862F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215DC7" w14:textId="072EA8D5" w:rsidR="00F81DEF" w:rsidRDefault="00F81DEF" w:rsidP="00F81D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Körperschutz: nicht erforderlich</w:t>
            </w:r>
          </w:p>
        </w:tc>
      </w:tr>
      <w:tr w:rsidR="00F81DEF" w14:paraId="34AF0881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2835DB6" w14:textId="77777777" w:rsidR="00F81DEF" w:rsidRDefault="00F81DEF" w:rsidP="00F81DE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F81DEF" w14:paraId="46BD7A35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9E5FA3B" w14:textId="77777777" w:rsidR="00F81DEF" w:rsidRDefault="00F81DEF" w:rsidP="00F81D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Alarmpläne im Betrieb:</w:t>
            </w:r>
          </w:p>
        </w:tc>
      </w:tr>
      <w:tr w:rsidR="00F81DEF" w14:paraId="1A97D946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0F936F" w14:textId="77777777" w:rsidR="00F81DEF" w:rsidRDefault="00F81DEF" w:rsidP="00F81D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Löschmittel: Produkt selbst brennt nicht; Löschmaßnahmen auf Umgebungsbrand abstimmen.</w:t>
            </w:r>
          </w:p>
        </w:tc>
      </w:tr>
      <w:tr w:rsidR="00F81DEF" w14:paraId="4BD35148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772500" w14:textId="77777777" w:rsidR="00F81DEF" w:rsidRDefault="00F81DEF" w:rsidP="00F81D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Löschmittel: Wasservollstrahl</w:t>
            </w:r>
          </w:p>
        </w:tc>
      </w:tr>
      <w:tr w:rsidR="00F81DEF" w14:paraId="720B9D47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E220A9" w14:textId="77777777" w:rsidR="00F81DEF" w:rsidRDefault="00F81DEF" w:rsidP="00F81D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Berührung mit Haut, Augen und Kleidung vermeiden. Schutzvorschriften (siehe Abschnitte 7 und 8) beachten.</w:t>
            </w:r>
          </w:p>
        </w:tc>
      </w:tr>
      <w:tr w:rsidR="00F81DEF" w14:paraId="3359431C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9D9B3D" w14:textId="77777777" w:rsidR="00F81DEF" w:rsidRDefault="00F81DEF" w:rsidP="00F81D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Kanalisation/Oberflächenwasser/Grundwasser gelangen lassen.</w:t>
            </w:r>
          </w:p>
        </w:tc>
      </w:tr>
      <w:tr w:rsidR="00F81DEF" w14:paraId="2B7C684F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705BBF" w14:textId="77777777" w:rsidR="00F81DEF" w:rsidRDefault="00F81DEF" w:rsidP="00F81D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flüssigkeitsbindenden Materialien aufnehmen. Das aufgenommene Material vorschriftsmäßig entsorgen.</w:t>
            </w:r>
          </w:p>
        </w:tc>
      </w:tr>
      <w:tr w:rsidR="00F81DEF" w14:paraId="2F4835FF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BA61D6" w14:textId="77777777" w:rsidR="00F81DEF" w:rsidRDefault="00F81DEF" w:rsidP="00F81D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Atemschutzgerät benutzen.</w:t>
            </w:r>
          </w:p>
        </w:tc>
      </w:tr>
      <w:tr w:rsidR="00F81DEF" w14:paraId="06D9754B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04C36A8" w14:textId="77777777" w:rsidR="00F81DEF" w:rsidRDefault="00F81DEF" w:rsidP="00F81DE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F81DEF" w14:paraId="3A2808C5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F7582CE" w14:textId="77777777" w:rsidR="00F81DEF" w:rsidRDefault="00F81DEF" w:rsidP="00F81D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F81DEF" w14:paraId="62FC7DDE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4F9B10" w14:textId="77777777" w:rsidR="00F81DEF" w:rsidRDefault="00F81DEF" w:rsidP="00F81DEF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64B2B8F4">
                <v:shape id="_x0000_i1150" type="#_x0000_t75" style="width:56.45pt;height:56.45pt">
                  <v:imagedata r:id="rId12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76E6027">
                <v:shape id="_x0000_i1151" type="#_x0000_t75" style="width:56.45pt;height:56.45pt">
                  <v:imagedata r:id="rId13" o:title=""/>
                </v:shape>
              </w:pict>
            </w:r>
          </w:p>
        </w:tc>
      </w:tr>
      <w:tr w:rsidR="00F81DEF" w14:paraId="376E317D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758B50" w14:textId="77777777" w:rsidR="00F81DEF" w:rsidRDefault="00F81DEF" w:rsidP="00F81D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Beschmutzte</w:t>
            </w:r>
            <w:proofErr w:type="gramEnd"/>
            <w:r>
              <w:rPr>
                <w:rFonts w:ascii="Arial" w:hAnsi="Arial"/>
                <w:sz w:val="18"/>
              </w:rPr>
              <w:t>, getränkte Kleidung sofort ausziehen und sicher entfernen.</w:t>
            </w:r>
          </w:p>
        </w:tc>
      </w:tr>
      <w:tr w:rsidR="00F81DEF" w14:paraId="118D8363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6D4F72" w14:textId="77777777" w:rsidR="00F81DEF" w:rsidRDefault="00F81DEF" w:rsidP="00F81D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Für Frischluft sorgen. Bei Beschwerden ärztlicher Behandlung zuführen.</w:t>
            </w:r>
          </w:p>
        </w:tc>
      </w:tr>
      <w:tr w:rsidR="00F81DEF" w14:paraId="08FF83F6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F61E90" w14:textId="77777777" w:rsidR="00F81DEF" w:rsidRDefault="00F81DEF" w:rsidP="00F81D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Berührung mit den Augen sofort mit viel Wasser 15 Minuten lang spülen. Bei Reizung Augenarzt konsultieren.</w:t>
            </w:r>
          </w:p>
        </w:tc>
      </w:tr>
      <w:tr w:rsidR="00F81DEF" w14:paraId="4706309C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761B68" w14:textId="77777777" w:rsidR="00F81DEF" w:rsidRDefault="00F81DEF" w:rsidP="00F81D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Berührung mit der Haut sofort abwaschen mit viel Wasser. Bei andauernder Hautreizung Arzt aufsuchen.</w:t>
            </w:r>
          </w:p>
        </w:tc>
      </w:tr>
      <w:tr w:rsidR="00F81DEF" w14:paraId="7C28C128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83A39E" w14:textId="77777777" w:rsidR="00F81DEF" w:rsidRDefault="00F81DEF" w:rsidP="00F81D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gründlich mit Wasser spülen.</w:t>
            </w:r>
          </w:p>
        </w:tc>
      </w:tr>
      <w:tr w:rsidR="00F81DEF" w14:paraId="53821594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28716CA" w14:textId="77777777" w:rsidR="00F81DEF" w:rsidRDefault="00F81DEF" w:rsidP="00F81D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F81DEF" w14:paraId="1EDA49BF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01F6109" w14:textId="77777777" w:rsidR="00F81DEF" w:rsidRDefault="00F81DEF" w:rsidP="00F81DE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F81DEF" w14:paraId="782B76D6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4BF60F" w14:textId="77777777" w:rsidR="00F81DEF" w:rsidRDefault="00F81DEF" w:rsidP="00F81D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können einem Recycling zugeführt werden.</w:t>
            </w:r>
          </w:p>
        </w:tc>
      </w:tr>
      <w:tr w:rsidR="00F81DEF" w14:paraId="23965CA2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67AE455" w14:textId="77777777" w:rsidR="00F81DEF" w:rsidRDefault="00F81DEF" w:rsidP="00F81D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ergänzen!)</w:t>
            </w:r>
          </w:p>
        </w:tc>
      </w:tr>
      <w:tr w:rsidR="00F81DEF" w14:paraId="0F4A6BE7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6C7ED4" w14:textId="77777777" w:rsidR="00F81DEF" w:rsidRDefault="00F81DEF" w:rsidP="00F81DE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Die Betriebsanweisung ist ein Vorschlag, der im Einzelfall redaktionell zu überarbeiten ist.</w:t>
            </w:r>
          </w:p>
        </w:tc>
      </w:tr>
    </w:tbl>
    <w:p w14:paraId="351A2B13" w14:textId="77777777" w:rsidR="007B3E38" w:rsidRPr="007B3E38" w:rsidRDefault="007B3E38" w:rsidP="009B5AA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58500" w14:textId="77777777" w:rsidR="004A26E3" w:rsidRDefault="004A26E3">
      <w:r>
        <w:separator/>
      </w:r>
    </w:p>
  </w:endnote>
  <w:endnote w:type="continuationSeparator" w:id="0">
    <w:p w14:paraId="0B07A808" w14:textId="77777777" w:rsidR="004A26E3" w:rsidRDefault="004A2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6A9A8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F3BD0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E538C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D24AD" w14:textId="77777777" w:rsidR="004A26E3" w:rsidRDefault="004A26E3">
      <w:r>
        <w:separator/>
      </w:r>
    </w:p>
  </w:footnote>
  <w:footnote w:type="continuationSeparator" w:id="0">
    <w:p w14:paraId="67D0741B" w14:textId="77777777" w:rsidR="004A26E3" w:rsidRDefault="004A2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71F12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B13A9" w14:textId="77777777" w:rsidR="00951FAE" w:rsidRDefault="004A26E3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0613DDF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28.65pt;width:344.1pt;height:16.3pt;z-index:-2" stroked="f">
          <v:textbox style="mso-next-textbox:#_x0000_s2049" inset="1mm,0,1mm,0">
            <w:txbxContent>
              <w:p w14:paraId="6B68C833" w14:textId="77777777" w:rsidR="00951FAE" w:rsidRDefault="005E42AB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gemäß §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43367BF5">
        <v:line id="_x0000_s2050" style="position:absolute;z-index:3" from="-6.05pt,45.95pt" to="526.75pt,45.95pt" strokeweight="1.5pt"/>
      </w:pict>
    </w:r>
    <w:r>
      <w:rPr>
        <w:noProof/>
      </w:rPr>
      <w:pict w14:anchorId="1C3E4730">
        <v:shape id="_x0000_s2051" type="#_x0000_t202" style="position:absolute;margin-left:344.6pt;margin-top:32.2pt;width:180pt;height:11.9pt;z-index:-3" stroked="f">
          <v:textbox style="mso-next-textbox:#_x0000_s2051" inset="1mm,0,0,0">
            <w:txbxContent>
              <w:p w14:paraId="6AF05379" w14:textId="4A89DCF4" w:rsidR="00951FAE" w:rsidRDefault="005E42AB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D5EA1">
                  <w:rPr>
                    <w:rFonts w:ascii="Arial" w:hAnsi="Arial" w:cs="Arial"/>
                    <w:noProof/>
                    <w:sz w:val="20"/>
                    <w:szCs w:val="20"/>
                  </w:rPr>
                  <w:t>28.04.21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93EC1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4316DC"/>
    <w:rsid w:val="004A26E3"/>
    <w:rsid w:val="00526488"/>
    <w:rsid w:val="005E20E3"/>
    <w:rsid w:val="005E42AB"/>
    <w:rsid w:val="00653F32"/>
    <w:rsid w:val="00686704"/>
    <w:rsid w:val="00693019"/>
    <w:rsid w:val="006F321F"/>
    <w:rsid w:val="007265FB"/>
    <w:rsid w:val="007B3E38"/>
    <w:rsid w:val="007E5B12"/>
    <w:rsid w:val="008A1703"/>
    <w:rsid w:val="008E6C24"/>
    <w:rsid w:val="00950695"/>
    <w:rsid w:val="00951FAE"/>
    <w:rsid w:val="009B5AA8"/>
    <w:rsid w:val="009D5EA1"/>
    <w:rsid w:val="00A72C66"/>
    <w:rsid w:val="00AA68D0"/>
    <w:rsid w:val="00AF1F6B"/>
    <w:rsid w:val="00B35FE9"/>
    <w:rsid w:val="00B843F8"/>
    <w:rsid w:val="00BE7563"/>
    <w:rsid w:val="00C7221A"/>
    <w:rsid w:val="00CE31C0"/>
    <w:rsid w:val="00F1386E"/>
    <w:rsid w:val="00F8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73A68D0"/>
  <w14:defaultImageDpi w14:val="0"/>
  <w15:docId w15:val="{D8F10140-6860-4C32-B1CC-DD390D54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9264E6-94B6-4B1C-A96C-33060E79F7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072998-3445-4BBA-B1D7-0462EC9427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CC3C-4660-4683-8715-2938166C6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2c8800-dd2f-4320-87c1-10c1c9768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5c8e3cc-a736-432a-b49d-1760e6df93c1}" enabled="1" method="Privileged" siteId="{4f6e342a-b220-4d04-bbbf-b3c8d9343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2331</Characters>
  <Application>Microsoft Office Word</Application>
  <DocSecurity>0</DocSecurity>
  <Lines>19</Lines>
  <Paragraphs>5</Paragraphs>
  <ScaleCrop>false</ScaleCrop>
  <Company>ProSiSoft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Nienstedt, Uwe</cp:lastModifiedBy>
  <cp:revision>7</cp:revision>
  <dcterms:created xsi:type="dcterms:W3CDTF">2020-12-02T13:04:00Z</dcterms:created>
  <dcterms:modified xsi:type="dcterms:W3CDTF">2021-04-28T06:40:00Z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0x0101002CF07C2DAB3C47499F4C7F5D365DB267</vt:lpwstr>
  </property>
</Properties>
</file>