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0"/>
        <w:gridCol w:w="3135"/>
        <w:gridCol w:w="4845"/>
        <w:gridCol w:w="570"/>
      </w:tblGrid>
      <w:tr w:rsidR="00951FAE" w14:paraId="4065CDA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2D06955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Arbeitsbereich, Arbeitsplatz, T</w:t>
            </w:r>
            <w:r>
              <w:rPr>
                <w:rFonts w:ascii="Arial" w:hAnsi="Arial"/>
                <w:b/>
                <w:u w:val="single"/>
              </w:rPr>
              <w:t>ä</w:t>
            </w:r>
            <w:r>
              <w:rPr>
                <w:rFonts w:ascii="Arial" w:hAnsi="Arial"/>
                <w:b/>
                <w:u w:val="single"/>
              </w:rPr>
              <w:t>tigkeit</w:t>
            </w:r>
          </w:p>
        </w:tc>
      </w:tr>
      <w:tr w:rsidR="00951FAE" w14:paraId="5C455A6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570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8E54C2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Arbeitsbereich...........................................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</w:tcPr>
          <w:p w14:paraId="1B5663F4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T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tigkeit...........................................</w:t>
            </w:r>
          </w:p>
        </w:tc>
      </w:tr>
      <w:tr w:rsidR="00951FAE" w14:paraId="253003B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415" w:type="dxa"/>
        </w:trPr>
        <w:tc>
          <w:tcPr>
            <w:tcW w:w="48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AB4982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Arbeitsplatz...........................................</w:t>
            </w:r>
          </w:p>
        </w:tc>
      </w:tr>
      <w:tr w:rsidR="00951FAE" w14:paraId="65052C4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E0BC805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Gefahrstoffbezeichnung</w:t>
            </w:r>
          </w:p>
        </w:tc>
      </w:tr>
      <w:tr w:rsidR="00951FAE" w14:paraId="08623EF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816090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spacing w:before="20"/>
              <w:ind w:left="57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neodisher LaboClean FT</w:t>
            </w:r>
          </w:p>
        </w:tc>
      </w:tr>
      <w:tr w:rsidR="00951FAE" w14:paraId="1EF9BCB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157A18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enth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lt: Kaliumhydroxid; Natriumhypochloritl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sung</w:t>
            </w:r>
          </w:p>
        </w:tc>
      </w:tr>
      <w:tr w:rsidR="00951FAE" w14:paraId="44DD05A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6DC8A133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Gefahren f</w:t>
            </w:r>
            <w:r>
              <w:rPr>
                <w:rFonts w:ascii="Arial" w:hAnsi="Arial"/>
                <w:b/>
                <w:u w:val="single"/>
              </w:rPr>
              <w:t>ü</w:t>
            </w:r>
            <w:r>
              <w:rPr>
                <w:rFonts w:ascii="Arial" w:hAnsi="Arial"/>
                <w:b/>
                <w:u w:val="single"/>
              </w:rPr>
              <w:t>r Mensch und Umwelt</w:t>
            </w:r>
          </w:p>
        </w:tc>
      </w:tr>
      <w:tr w:rsidR="00951FAE" w14:paraId="71BAFAB2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2DE51A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785501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56.25pt">
                  <v:imagedata r:id="rId6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0278867">
                <v:shape id="_x0000_i1026" type="#_x0000_t75" style="width:56.25pt;height:56.25pt">
                  <v:imagedata r:id="rId7" o:title=""/>
                </v:shape>
              </w:pict>
            </w:r>
          </w:p>
        </w:tc>
      </w:tr>
      <w:tr w:rsidR="00951FAE" w14:paraId="39B734DD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D30805E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H290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B959CF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Kann gegen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ber Metallen korrosiv sein.</w:t>
            </w:r>
          </w:p>
        </w:tc>
      </w:tr>
      <w:tr w:rsidR="00951FAE" w14:paraId="17EE8207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4473D3E2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H314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945786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Verursacht schwere Ver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tzungen der Haut und schwere Augensch</w:t>
            </w:r>
            <w:r>
              <w:rPr>
                <w:rFonts w:ascii="Arial" w:hAnsi="Arial"/>
                <w:sz w:val="20"/>
              </w:rPr>
              <w:t>ä</w:t>
            </w:r>
            <w:r>
              <w:rPr>
                <w:rFonts w:ascii="Arial" w:hAnsi="Arial"/>
                <w:sz w:val="20"/>
              </w:rPr>
              <w:t>den.</w:t>
            </w:r>
          </w:p>
        </w:tc>
      </w:tr>
      <w:tr w:rsidR="00951FAE" w14:paraId="74157EEB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3FF11EC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H410</w:t>
            </w:r>
          </w:p>
        </w:tc>
        <w:tc>
          <w:tcPr>
            <w:tcW w:w="85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5F5A3B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ind w:left="57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Sehr giftig f</w:t>
            </w:r>
            <w:r>
              <w:rPr>
                <w:rFonts w:ascii="Arial" w:hAnsi="Arial"/>
                <w:sz w:val="20"/>
              </w:rPr>
              <w:t>ü</w:t>
            </w:r>
            <w:r>
              <w:rPr>
                <w:rFonts w:ascii="Arial" w:hAnsi="Arial"/>
                <w:sz w:val="20"/>
              </w:rPr>
              <w:t>r Wasserorganismen mit langfristiger Wirkung.</w:t>
            </w:r>
          </w:p>
        </w:tc>
      </w:tr>
      <w:tr w:rsidR="00951FAE" w14:paraId="27A2CE9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77B2F661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Schutzma</w:t>
            </w:r>
            <w:r>
              <w:rPr>
                <w:rFonts w:ascii="Arial" w:hAnsi="Arial"/>
                <w:b/>
                <w:u w:val="single"/>
              </w:rPr>
              <w:t>ß</w:t>
            </w:r>
            <w:r>
              <w:rPr>
                <w:rFonts w:ascii="Arial" w:hAnsi="Arial"/>
                <w:b/>
                <w:u w:val="single"/>
              </w:rPr>
              <w:t>nahmen und Verhaltensregeln</w:t>
            </w:r>
          </w:p>
        </w:tc>
      </w:tr>
      <w:tr w:rsidR="00951FAE" w14:paraId="189B3DC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DB56BC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37A8CFD4">
                <v:shape id="_x0000_i1027" type="#_x0000_t75" style="width:56.25pt;height:56.25pt">
                  <v:imagedata r:id="rId8" o:title=""/>
                </v:shape>
              </w:pict>
            </w:r>
            <w:r>
              <w:rPr>
                <w:rFonts w:ascii="Arial" w:hAnsi="Arial"/>
                <w:sz w:val="20"/>
              </w:rPr>
              <w:pict w14:anchorId="6239CDF5">
                <v:shape id="_x0000_i1028" type="#_x0000_t75" style="width:56.25pt;height:56.25pt">
                  <v:imagedata r:id="rId9" o:title=""/>
                </v:shape>
              </w:pict>
            </w:r>
            <w:r>
              <w:rPr>
                <w:rFonts w:ascii="Arial" w:hAnsi="Arial"/>
                <w:sz w:val="20"/>
              </w:rPr>
              <w:pict w14:anchorId="5E9F16F4">
                <v:shape id="_x0000_i1029" type="#_x0000_t75" style="width:56.25pt;height:56.25pt">
                  <v:imagedata r:id="rId10" o:title=""/>
                </v:shape>
              </w:pict>
            </w:r>
          </w:p>
        </w:tc>
      </w:tr>
      <w:tr w:rsidR="00951FAE" w14:paraId="30C6BAA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9D6F62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Allgemeine Schutz- und Hygienema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</w:t>
            </w:r>
          </w:p>
        </w:tc>
      </w:tr>
      <w:tr w:rsidR="00951FAE" w14:paraId="59F981E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F3470C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lvorrichtung bereithalten. Notdusche bereithalten. Gase/D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mpfe/Aerosole nicht einatmen.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und der Haut vermeiden. Bei der Arbeit nicht rauchen, essen oder trinken. Vor den Pausen und bei Arbeitsende 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nde waschen. Nach der Arbeit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Hautreinigung und Hautpflege sorgen.</w:t>
            </w:r>
          </w:p>
        </w:tc>
      </w:tr>
      <w:tr w:rsidR="00951FAE" w14:paraId="26A4528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F9865C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Aerosolbildung vermeiden. Die beim Umgang m</w:t>
            </w:r>
            <w:r>
              <w:rPr>
                <w:rFonts w:ascii="Arial" w:hAnsi="Arial"/>
                <w:sz w:val="18"/>
              </w:rPr>
              <w:t xml:space="preserve">it Chemikalien 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blichen Vorsichtsma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sind zu beachten.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dicht geschlossen halten.</w:t>
            </w:r>
          </w:p>
        </w:tc>
      </w:tr>
      <w:tr w:rsidR="00951FAE" w14:paraId="3F80D99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8FF26D1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Technische und organisatorische Schutzma</w:t>
            </w:r>
            <w:r>
              <w:rPr>
                <w:rFonts w:ascii="Arial" w:hAnsi="Arial"/>
                <w:b/>
                <w:sz w:val="18"/>
              </w:rPr>
              <w:t>ß</w:t>
            </w:r>
            <w:r>
              <w:rPr>
                <w:rFonts w:ascii="Arial" w:hAnsi="Arial"/>
                <w:b/>
                <w:sz w:val="18"/>
              </w:rPr>
              <w:t>nahmen zur Verh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tung einer Exposition</w:t>
            </w:r>
          </w:p>
        </w:tc>
      </w:tr>
      <w:tr w:rsidR="00951FAE" w14:paraId="4BBAE8A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297D5B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Hinweise zum Brand- und Explosionsschutz: Das Produkt ist nicht brennbar.</w:t>
            </w:r>
          </w:p>
        </w:tc>
      </w:tr>
      <w:tr w:rsidR="00951FAE" w14:paraId="3C152A6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7CD571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Weit</w:t>
            </w:r>
            <w:r>
              <w:rPr>
                <w:rFonts w:ascii="Arial" w:hAnsi="Arial"/>
                <w:sz w:val="18"/>
              </w:rPr>
              <w:t>ere Angaben zu den Lagerbedingungen: Vor Hitze und direkter Sonneneinstrahlung sch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tzen. Beh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lter nicht gasdicht verschlie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en.</w:t>
            </w:r>
          </w:p>
        </w:tc>
      </w:tr>
      <w:tr w:rsidR="00951FAE" w14:paraId="5B68AA1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090099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Pers</w:t>
            </w:r>
            <w:r>
              <w:rPr>
                <w:rFonts w:ascii="Arial" w:hAnsi="Arial"/>
                <w:b/>
                <w:sz w:val="18"/>
              </w:rPr>
              <w:t>ö</w:t>
            </w:r>
            <w:r>
              <w:rPr>
                <w:rFonts w:ascii="Arial" w:hAnsi="Arial"/>
                <w:b/>
                <w:sz w:val="18"/>
              </w:rPr>
              <w:t>nliche Schutzausr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stungen</w:t>
            </w:r>
          </w:p>
        </w:tc>
      </w:tr>
      <w:tr w:rsidR="00951FAE" w14:paraId="6E5C216B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535E79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Augenschutz: Schutzbrille mit Seitenschutz. Der Augenschutz muss EN 166 entsprechen.</w:t>
            </w:r>
          </w:p>
        </w:tc>
      </w:tr>
      <w:tr w:rsidR="00951FAE" w14:paraId="0CF2A0AC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7B016D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Handschutz</w:t>
            </w:r>
            <w:r>
              <w:rPr>
                <w:rFonts w:ascii="Arial" w:hAnsi="Arial"/>
                <w:sz w:val="18"/>
              </w:rPr>
              <w:t>: Schutzhandschuhe</w:t>
            </w:r>
          </w:p>
        </w:tc>
      </w:tr>
      <w:tr w:rsidR="00951FAE" w14:paraId="57C72F4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0A9371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rperschutz: Chemie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bliche Arbeitskleidung. Sicherheitsschuhe</w:t>
            </w:r>
          </w:p>
        </w:tc>
      </w:tr>
      <w:tr w:rsidR="00951FAE" w14:paraId="0C7D2BC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0F6E108A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Verhalten im Gefahrfall</w:t>
            </w:r>
          </w:p>
        </w:tc>
      </w:tr>
      <w:tr w:rsidR="00951FAE" w14:paraId="07B068E4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904C96F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Unfalltelefon / Alarmpl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ne im Betrieb:</w:t>
            </w:r>
          </w:p>
        </w:tc>
      </w:tr>
      <w:tr w:rsidR="00951FAE" w14:paraId="4DFDF44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B4A3D6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215146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2910FBA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Produkt selbst brennt nicht;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schma</w:t>
            </w:r>
            <w:r>
              <w:rPr>
                <w:rFonts w:ascii="Arial" w:hAnsi="Arial"/>
                <w:sz w:val="18"/>
              </w:rPr>
              <w:t>ß</w:t>
            </w:r>
            <w:r>
              <w:rPr>
                <w:rFonts w:ascii="Arial" w:hAnsi="Arial"/>
                <w:sz w:val="18"/>
              </w:rPr>
              <w:t>nahmen auf Umgebungsbrand abstimmen.</w:t>
            </w:r>
          </w:p>
        </w:tc>
      </w:tr>
      <w:tr w:rsidR="00951FAE" w14:paraId="2190934E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BDB333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Ungeeignete L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schmittel: Wasservollstrahl</w:t>
            </w:r>
          </w:p>
        </w:tc>
      </w:tr>
      <w:tr w:rsidR="00951FAE" w14:paraId="5911793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6FE0D7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Haut, Augen und Kleidung vermeiden. Schutzvorschriften (siehe Abschnitte 7 und 8) beachten.</w:t>
            </w:r>
          </w:p>
        </w:tc>
      </w:tr>
      <w:tr w:rsidR="00951FAE" w14:paraId="2BE2CD4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63F60B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Nicht in die Kanalisation/Oberfl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chenwasser/Grundwasser gelangen lassen.</w:t>
            </w:r>
          </w:p>
        </w:tc>
      </w:tr>
      <w:tr w:rsidR="00951FAE" w14:paraId="469C4E1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E9E8FF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Mit geeigneten fl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ssigkeitsbindenden Materialien aufnehmen. Das aufgenommene Ma</w:t>
            </w:r>
            <w:r>
              <w:rPr>
                <w:rFonts w:ascii="Arial" w:hAnsi="Arial"/>
                <w:sz w:val="18"/>
              </w:rPr>
              <w:t>terial vorschriftsm</w:t>
            </w:r>
            <w:r>
              <w:rPr>
                <w:rFonts w:ascii="Arial" w:hAnsi="Arial"/>
                <w:sz w:val="18"/>
              </w:rPr>
              <w:t>äß</w:t>
            </w:r>
            <w:r>
              <w:rPr>
                <w:rFonts w:ascii="Arial" w:hAnsi="Arial"/>
                <w:sz w:val="18"/>
              </w:rPr>
              <w:t>ig entsorgen.</w:t>
            </w:r>
          </w:p>
        </w:tc>
      </w:tr>
      <w:tr w:rsidR="00951FAE" w14:paraId="38B297D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6B83F7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Explosions- und Brandgase nicht einatmen. Bei Brand geeignetes Atemschutzger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t benutzen.</w:t>
            </w:r>
          </w:p>
        </w:tc>
      </w:tr>
      <w:tr w:rsidR="00951FAE" w14:paraId="50826FC0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678B9F3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Erste Hilfe</w:t>
            </w:r>
          </w:p>
        </w:tc>
      </w:tr>
      <w:tr w:rsidR="00951FAE" w14:paraId="7AB11718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705F5BD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Ersthelfer:</w:t>
            </w:r>
          </w:p>
        </w:tc>
      </w:tr>
      <w:tr w:rsidR="00951FAE" w14:paraId="1FCB192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CFDFD6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34B6B2A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D90526B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ind w:left="855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pict w14:anchorId="18407E83">
                <v:shape id="_x0000_i1030" type="#_x0000_t75" style="width:56.25pt;height:56.25pt">
                  <v:imagedata r:id="rId11" o:title=""/>
                </v:shape>
              </w:pict>
            </w:r>
            <w:r>
              <w:rPr>
                <w:rFonts w:ascii="Arial" w:hAnsi="Arial"/>
                <w:sz w:val="20"/>
              </w:rPr>
              <w:pict w14:anchorId="7D422255">
                <v:shape id="_x0000_i1031" type="#_x0000_t75" style="width:56.25pt;height:56.25pt">
                  <v:imagedata r:id="rId12" o:title=""/>
                </v:shape>
              </w:pict>
            </w:r>
          </w:p>
        </w:tc>
      </w:tr>
      <w:tr w:rsidR="00951FAE" w14:paraId="08493323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EFA992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Beschmutzte, getr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nkte Kleidung sofort ausziehen und sicher entfernen.</w:t>
            </w:r>
          </w:p>
        </w:tc>
      </w:tr>
      <w:tr w:rsidR="00951FAE" w14:paraId="3656FF6F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3B8B2C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ndliche K</w:t>
            </w:r>
            <w:r>
              <w:rPr>
                <w:rFonts w:ascii="Arial" w:hAnsi="Arial"/>
                <w:sz w:val="18"/>
              </w:rPr>
              <w:t>ö</w:t>
            </w:r>
            <w:r>
              <w:rPr>
                <w:rFonts w:ascii="Arial" w:hAnsi="Arial"/>
                <w:sz w:val="18"/>
              </w:rPr>
              <w:t>rperreinigung vornehmen (Dusch- oder V</w:t>
            </w:r>
            <w:r>
              <w:rPr>
                <w:rFonts w:ascii="Arial" w:hAnsi="Arial"/>
                <w:sz w:val="18"/>
              </w:rPr>
              <w:t>ollbad).</w:t>
            </w:r>
          </w:p>
        </w:tc>
      </w:tr>
      <w:tr w:rsidR="00951FAE" w14:paraId="7BF8D1F6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922741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In allen F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llen dem Arzt das Sicherheitsdatenblatt vorzeigen.</w:t>
            </w:r>
          </w:p>
        </w:tc>
      </w:tr>
      <w:tr w:rsidR="00951FAE" w14:paraId="57307D65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9BB30C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Einatmen: 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r Frischluft sorgen. Nach Einatmen von Spr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hnebeln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einholen.</w:t>
            </w:r>
          </w:p>
        </w:tc>
      </w:tr>
      <w:tr w:rsidR="00951FAE" w14:paraId="1F7C4AA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4761B5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lastRenderedPageBreak/>
              <w:t>Nach Augenkontakt: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hrung mit den Augen sofort mit viel Wasser 15 Minuten lang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Sofort Arzt hinzuziehen.</w:t>
            </w:r>
          </w:p>
        </w:tc>
      </w:tr>
      <w:tr w:rsidR="00951FAE" w14:paraId="67CB5CC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49944D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Nach Hautkontakt: Bei Ber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 xml:space="preserve">hrung mit der Haut sofort abwaschen mit viel Wasser.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rztlicher Behandlung zuf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hren.</w:t>
            </w:r>
          </w:p>
        </w:tc>
      </w:tr>
      <w:tr w:rsidR="00951FAE" w14:paraId="21678FA1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B36CF2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Nach Verschlucken: Bei Verschlucken sofort </w:t>
            </w:r>
            <w:r>
              <w:rPr>
                <w:rFonts w:ascii="Arial" w:hAnsi="Arial"/>
                <w:sz w:val="18"/>
              </w:rPr>
              <w:t>ä</w:t>
            </w:r>
            <w:r>
              <w:rPr>
                <w:rFonts w:ascii="Arial" w:hAnsi="Arial"/>
                <w:sz w:val="18"/>
              </w:rPr>
              <w:t>rztlichen Rat einholen und Verpackung oder Etikett vorzeigen. Mund gr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ndlich mit Wasser sp</w:t>
            </w:r>
            <w:r>
              <w:rPr>
                <w:rFonts w:ascii="Arial" w:hAnsi="Arial"/>
                <w:sz w:val="18"/>
              </w:rPr>
              <w:t>ü</w:t>
            </w:r>
            <w:r>
              <w:rPr>
                <w:rFonts w:ascii="Arial" w:hAnsi="Arial"/>
                <w:sz w:val="18"/>
              </w:rPr>
              <w:t>len. Reichlich Wasser in kleinen Schlucken trinken lassen. Kein Erbrechen einleiten.</w:t>
            </w:r>
          </w:p>
        </w:tc>
      </w:tr>
      <w:tr w:rsidR="00951FAE" w14:paraId="5105A989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1CFDD5F4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Notrufnummer</w:t>
            </w:r>
          </w:p>
        </w:tc>
      </w:tr>
      <w:tr w:rsidR="00951FAE" w14:paraId="4FC6BEF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45D9F0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</w:t>
            </w:r>
          </w:p>
        </w:tc>
      </w:tr>
      <w:tr w:rsidR="00951FAE" w14:paraId="1530D0F7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16996127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spacing w:before="120" w:after="80"/>
              <w:jc w:val="center"/>
              <w:rPr>
                <w:rFonts w:ascii="Arial" w:hAnsi="Arial"/>
                <w:b/>
                <w:u w:val="single"/>
              </w:rPr>
            </w:pPr>
            <w:r>
              <w:rPr>
                <w:rFonts w:ascii="Arial" w:hAnsi="Arial"/>
                <w:b/>
                <w:u w:val="single"/>
              </w:rPr>
              <w:t>Sachg</w:t>
            </w:r>
            <w:r>
              <w:rPr>
                <w:rFonts w:ascii="Arial" w:hAnsi="Arial"/>
                <w:b/>
                <w:u w:val="single"/>
              </w:rPr>
              <w:t>erechte Entsorgung</w:t>
            </w:r>
          </w:p>
        </w:tc>
      </w:tr>
      <w:tr w:rsidR="00951FAE" w14:paraId="39E6D14A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CCD4543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Datum / Unterschrift Arbeitgeber: (Graue Felder sind durch den Arbeitgeber zu erg</w:t>
            </w:r>
            <w:r>
              <w:rPr>
                <w:rFonts w:ascii="Arial" w:hAnsi="Arial"/>
                <w:b/>
                <w:sz w:val="18"/>
              </w:rPr>
              <w:t>ä</w:t>
            </w:r>
            <w:r>
              <w:rPr>
                <w:rFonts w:ascii="Arial" w:hAnsi="Arial"/>
                <w:b/>
                <w:sz w:val="18"/>
              </w:rPr>
              <w:t>nzen!)</w:t>
            </w:r>
          </w:p>
        </w:tc>
      </w:tr>
      <w:tr w:rsidR="00951FAE" w14:paraId="4CBFE25D" w14:textId="77777777">
        <w:tblPrEx>
          <w:tblCellMar>
            <w:top w:w="0" w:type="dxa"/>
            <w:bottom w:w="0" w:type="dxa"/>
          </w:tblCellMar>
        </w:tblPrEx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F7D554" w14:textId="77777777" w:rsidR="00000000" w:rsidRDefault="0082492A">
            <w:pPr>
              <w:pStyle w:val="LINXEMOVE2"/>
              <w:tabs>
                <w:tab w:val="clear" w:pos="4536"/>
                <w:tab w:val="clear" w:pos="9072"/>
              </w:tabs>
              <w:spacing w:before="20" w:line="2" w:lineRule="atLeast"/>
              <w:ind w:left="57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Die Betriebsanweisung ist ein Vorschlag, der im Einzelfall redaktionell zu </w:t>
            </w:r>
            <w:r>
              <w:rPr>
                <w:rFonts w:ascii="Arial" w:hAnsi="Arial"/>
                <w:b/>
                <w:sz w:val="18"/>
              </w:rPr>
              <w:t>ü</w:t>
            </w:r>
            <w:r>
              <w:rPr>
                <w:rFonts w:ascii="Arial" w:hAnsi="Arial"/>
                <w:b/>
                <w:sz w:val="18"/>
              </w:rPr>
              <w:t>berarbeiten ist.</w:t>
            </w:r>
          </w:p>
        </w:tc>
      </w:tr>
    </w:tbl>
    <w:p w14:paraId="785BE45F" w14:textId="77777777" w:rsidR="007B3E38" w:rsidRPr="007B3E38" w:rsidRDefault="007B3E38">
      <w:pPr>
        <w:pStyle w:val="LINXEMOVE2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sectPr w:rsidR="007B3E38" w:rsidRPr="007B3E38" w:rsidSect="00F1386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4" w:h="16834" w:code="9"/>
      <w:pgMar w:top="1527" w:right="561" w:bottom="1021" w:left="851" w:header="567" w:footer="601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47388" w14:textId="77777777" w:rsidR="003D4F1A" w:rsidRDefault="003D4F1A">
      <w:r>
        <w:separator/>
      </w:r>
    </w:p>
  </w:endnote>
  <w:endnote w:type="continuationSeparator" w:id="0">
    <w:p w14:paraId="60548153" w14:textId="77777777" w:rsidR="003D4F1A" w:rsidRDefault="003D4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89640" w14:textId="77777777" w:rsidR="006F321F" w:rsidRDefault="006F32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37E8B" w14:textId="77777777" w:rsidR="00951FAE" w:rsidRDefault="00A72C66">
    <w:pPr>
      <w:pStyle w:val="LINEXMOVE1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[Page]</w:t>
    </w:r>
    <w:r w:rsidR="00951FAE">
      <w:rPr>
        <w:rFonts w:ascii="Arial" w:hAnsi="Arial" w:cs="Arial"/>
        <w:sz w:val="20"/>
        <w:szCs w:val="20"/>
      </w:rPr>
      <w:t xml:space="preserve"> 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PAGE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(</w:t>
    </w:r>
    <w:r w:rsidR="00951FAE">
      <w:rPr>
        <w:rFonts w:ascii="Arial" w:hAnsi="Arial" w:cs="Arial"/>
        <w:sz w:val="20"/>
        <w:szCs w:val="20"/>
      </w:rPr>
      <w:fldChar w:fldCharType="begin"/>
    </w:r>
    <w:r w:rsidR="00951FAE">
      <w:rPr>
        <w:rFonts w:ascii="Arial" w:hAnsi="Arial" w:cs="Arial"/>
        <w:sz w:val="20"/>
        <w:szCs w:val="20"/>
      </w:rPr>
      <w:instrText xml:space="preserve"> NUMPAGES </w:instrText>
    </w:r>
    <w:r w:rsidR="00951FAE">
      <w:rPr>
        <w:rFonts w:ascii="Arial" w:hAnsi="Arial" w:cs="Arial"/>
        <w:sz w:val="20"/>
        <w:szCs w:val="20"/>
      </w:rPr>
      <w:fldChar w:fldCharType="separate"/>
    </w:r>
    <w:r w:rsidR="006F321F">
      <w:rPr>
        <w:rFonts w:ascii="Arial" w:hAnsi="Arial" w:cs="Arial"/>
        <w:noProof/>
        <w:sz w:val="20"/>
        <w:szCs w:val="20"/>
      </w:rPr>
      <w:t>1</w:t>
    </w:r>
    <w:r w:rsidR="00951FAE">
      <w:rPr>
        <w:rFonts w:ascii="Arial" w:hAnsi="Arial" w:cs="Arial"/>
        <w:sz w:val="20"/>
        <w:szCs w:val="20"/>
      </w:rPr>
      <w:fldChar w:fldCharType="end"/>
    </w:r>
    <w:r w:rsidR="00951FAE">
      <w:rPr>
        <w:rFonts w:ascii="Arial" w:hAnsi="Arial" w:cs="Arial"/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DFA3E" w14:textId="77777777" w:rsidR="006F321F" w:rsidRDefault="006F32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479B1" w14:textId="77777777" w:rsidR="003D4F1A" w:rsidRDefault="003D4F1A">
      <w:r>
        <w:separator/>
      </w:r>
    </w:p>
  </w:footnote>
  <w:footnote w:type="continuationSeparator" w:id="0">
    <w:p w14:paraId="700B2321" w14:textId="77777777" w:rsidR="003D4F1A" w:rsidRDefault="003D4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FBB2" w14:textId="77777777" w:rsidR="006F321F" w:rsidRDefault="006F32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7008D" w14:textId="77777777" w:rsidR="00951FAE" w:rsidRDefault="0082492A" w:rsidP="00950695">
    <w:pPr>
      <w:pStyle w:val="LINEXMOVE"/>
      <w:widowControl w:val="0"/>
      <w:tabs>
        <w:tab w:val="left" w:pos="90"/>
        <w:tab w:val="right" w:pos="10489"/>
      </w:tabs>
      <w:spacing w:before="40"/>
      <w:rPr>
        <w:rFonts w:ascii="Arial" w:hAnsi="Arial" w:cs="Arial"/>
        <w:snapToGrid w:val="0"/>
        <w:color w:val="000000"/>
        <w:sz w:val="31"/>
        <w:szCs w:val="31"/>
      </w:rPr>
    </w:pPr>
    <w:r>
      <w:rPr>
        <w:noProof/>
      </w:rPr>
      <w:pict w14:anchorId="64EBE3D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.5pt;margin-top:17.4pt;width:344.1pt;height:27.55pt;z-index:-251658752" stroked="f">
          <v:textbox style="mso-next-textbox:#_x0000_s2049" inset="1mm,0,1mm,0">
            <w:txbxContent>
              <w:p w14:paraId="38B3DF46" w14:textId="77777777" w:rsidR="00951FAE" w:rsidRDefault="0082492A">
                <w:pPr>
                  <w:pStyle w:val="LINEXMOVE"/>
                  <w:rPr>
                    <w:sz w:val="28"/>
                    <w:szCs w:val="28"/>
                  </w:rPr>
                </w:pPr>
                <w:r>
                  <w:rPr>
                    <w:rFonts w:ascii="Arial" w:hAnsi="Arial"/>
                    <w:sz w:val="20"/>
                  </w:rPr>
                  <w:t>Betriebsanweisung gem</w:t>
                </w:r>
                <w:r>
                  <w:rPr>
                    <w:rFonts w:ascii="Arial" w:hAnsi="Arial"/>
                    <w:sz w:val="20"/>
                  </w:rPr>
                  <w:t>äß</w:t>
                </w:r>
                <w:r>
                  <w:rPr>
                    <w:rFonts w:ascii="Arial" w:hAnsi="Arial"/>
                    <w:sz w:val="20"/>
                  </w:rPr>
                  <w:t xml:space="preserve"> </w:t>
                </w:r>
                <w:r>
                  <w:rPr>
                    <w:rFonts w:ascii="Arial" w:hAnsi="Arial"/>
                    <w:sz w:val="20"/>
                  </w:rPr>
                  <w:t>§</w:t>
                </w:r>
                <w:r>
                  <w:rPr>
                    <w:rFonts w:ascii="Arial" w:hAnsi="Arial"/>
                    <w:sz w:val="20"/>
                  </w:rPr>
                  <w:t xml:space="preserve"> 14 GefStoffV</w:t>
                </w:r>
              </w:p>
            </w:txbxContent>
          </v:textbox>
          <w10:wrap type="square"/>
        </v:shape>
      </w:pict>
    </w:r>
    <w:r>
      <w:rPr>
        <w:noProof/>
      </w:rPr>
      <w:pict w14:anchorId="4890B4ED">
        <v:line id="_x0000_s2050" style="position:absolute;z-index:251658752" from="-6.05pt,45.95pt" to="526.75pt,45.95pt" strokeweight="1.5pt"/>
      </w:pict>
    </w:r>
    <w:r>
      <w:rPr>
        <w:noProof/>
      </w:rPr>
      <w:pict w14:anchorId="7279D1AB">
        <v:shape id="_x0000_s2051" type="#_x0000_t202" style="position:absolute;margin-left:344.6pt;margin-top:32.2pt;width:180pt;height:11.9pt;z-index:-251659776" stroked="f">
          <v:textbox style="mso-next-textbox:#_x0000_s2051" inset="1mm,0,0,0">
            <w:txbxContent>
              <w:p w14:paraId="1C8F4CC6" w14:textId="77777777" w:rsidR="00951FAE" w:rsidRDefault="0082492A">
                <w:pPr>
                  <w:pStyle w:val="LINEXMOVE"/>
                  <w:jc w:val="right"/>
                  <w:rPr>
                    <w:sz w:val="20"/>
                    <w:szCs w:val="20"/>
                  </w:rPr>
                </w:pPr>
                <w:r>
                  <w:rPr>
                    <w:rFonts w:ascii="Arial" w:hAnsi="Arial"/>
                    <w:sz w:val="20"/>
                  </w:rPr>
                  <w:t xml:space="preserve">Druckdatum: 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begin"/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instrText xml:space="preserve"> DATE  \@ "dd.MM.yy"  \* MERGEFORMAT </w:instrTex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t>16.05.22</w:t>
                </w:r>
                <w:r w:rsidR="00526488">
                  <w:rPr>
                    <w:rFonts w:ascii="Arial" w:hAnsi="Arial" w:cs="Arial"/>
                    <w:sz w:val="20"/>
                    <w:szCs w:val="20"/>
                  </w:rPr>
                  <w:fldChar w:fldCharType="end"/>
                </w:r>
              </w:p>
            </w:txbxContent>
          </v:textbox>
          <w10:wrap type="square"/>
        </v:shape>
      </w:pict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  <w:r w:rsidR="00951FAE">
      <w:rPr>
        <w:rFonts w:ascii="Arial" w:hAnsi="Arial" w:cs="Arial"/>
        <w:snapToGrid w:val="0"/>
        <w:color w:val="000000"/>
        <w:sz w:val="31"/>
        <w:szCs w:val="3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27ECB" w14:textId="77777777" w:rsidR="006F321F" w:rsidRDefault="006F321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E7563"/>
    <w:rsid w:val="00091ABF"/>
    <w:rsid w:val="00144999"/>
    <w:rsid w:val="00167907"/>
    <w:rsid w:val="001E741E"/>
    <w:rsid w:val="00243BD0"/>
    <w:rsid w:val="002C3DCF"/>
    <w:rsid w:val="002C7B11"/>
    <w:rsid w:val="002E5F3E"/>
    <w:rsid w:val="003123B9"/>
    <w:rsid w:val="00395D71"/>
    <w:rsid w:val="003D4F1A"/>
    <w:rsid w:val="004316DC"/>
    <w:rsid w:val="00526488"/>
    <w:rsid w:val="005E20E3"/>
    <w:rsid w:val="00653F32"/>
    <w:rsid w:val="00686704"/>
    <w:rsid w:val="00693019"/>
    <w:rsid w:val="006F321F"/>
    <w:rsid w:val="007265FB"/>
    <w:rsid w:val="007B3E38"/>
    <w:rsid w:val="007C3D79"/>
    <w:rsid w:val="0082492A"/>
    <w:rsid w:val="008A1703"/>
    <w:rsid w:val="008A3DCA"/>
    <w:rsid w:val="008E6C24"/>
    <w:rsid w:val="00950695"/>
    <w:rsid w:val="00951FAE"/>
    <w:rsid w:val="00A72C66"/>
    <w:rsid w:val="00AA68D0"/>
    <w:rsid w:val="00AF1F6B"/>
    <w:rsid w:val="00B35FE9"/>
    <w:rsid w:val="00BE7563"/>
    <w:rsid w:val="00CE31C0"/>
    <w:rsid w:val="00F13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0D96CC9"/>
  <w14:defaultImageDpi w14:val="0"/>
  <w15:docId w15:val="{812E9C90-9BCE-42AA-9DB8-20CF80C8E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99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NEXMOVE">
    <w:name w:val="[@LINEXMOVE]"/>
    <w:uiPriority w:val="99"/>
    <w:pPr>
      <w:autoSpaceDE w:val="0"/>
      <w:autoSpaceDN w:val="0"/>
      <w:spacing w:after="0" w:line="240" w:lineRule="auto"/>
    </w:pPr>
    <w:rPr>
      <w:sz w:val="24"/>
      <w:szCs w:val="24"/>
    </w:rPr>
  </w:style>
  <w:style w:type="paragraph" w:customStyle="1" w:styleId="LINXEMOVE2">
    <w:name w:val="[@LINXEMOVE]2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locked/>
    <w:rPr>
      <w:rFonts w:cs="Times New Roman"/>
      <w:sz w:val="24"/>
      <w:szCs w:val="24"/>
    </w:rPr>
  </w:style>
  <w:style w:type="paragraph" w:customStyle="1" w:styleId="LINEXMOVE1">
    <w:name w:val="[@LINEXMOVE]1"/>
    <w:uiPriority w:val="99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D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395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customXml" Target="../customXml/item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F07C2DAB3C47499F4C7F5D365DB267" ma:contentTypeVersion="2" ma:contentTypeDescription="Ein neues Dokument erstellen." ma:contentTypeScope="" ma:versionID="71037f68c7cddae2dfeac3c5043c666f">
  <xsd:schema xmlns:xsd="http://www.w3.org/2001/XMLSchema" xmlns:xs="http://www.w3.org/2001/XMLSchema" xmlns:p="http://schemas.microsoft.com/office/2006/metadata/properties" xmlns:ns2="832c8800-dd2f-4320-87c1-10c1c976871e" targetNamespace="http://schemas.microsoft.com/office/2006/metadata/properties" ma:root="true" ma:fieldsID="5d67dab3baa1261002bbeede6719280b" ns2:_="">
    <xsd:import namespace="832c8800-dd2f-4320-87c1-10c1c97687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2c8800-dd2f-4320-87c1-10c1c9768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B5BE4B-5698-438A-AE08-E980C6C0A9F2}"/>
</file>

<file path=customXml/itemProps2.xml><?xml version="1.0" encoding="utf-8"?>
<ds:datastoreItem xmlns:ds="http://schemas.openxmlformats.org/officeDocument/2006/customXml" ds:itemID="{0B8C89D2-9C9E-449A-AC15-991196DEC6B7}"/>
</file>

<file path=customXml/itemProps3.xml><?xml version="1.0" encoding="utf-8"?>
<ds:datastoreItem xmlns:ds="http://schemas.openxmlformats.org/officeDocument/2006/customXml" ds:itemID="{E5AFE5BD-56F8-44F7-8F8C-53D888D43242}"/>
</file>

<file path=docMetadata/LabelInfo.xml><?xml version="1.0" encoding="utf-8"?>
<clbl:labelList xmlns:clbl="http://schemas.microsoft.com/office/2020/mipLabelMetadata">
  <clbl:label id="{25c8e3cc-a736-432a-b49d-1760e6df93c1}" enabled="1" method="Privileged" siteId="{4f6e342a-b220-4d04-bbbf-b3c8d934399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2877</Characters>
  <Application>Microsoft Office Word</Application>
  <DocSecurity>0</DocSecurity>
  <Lines>23</Lines>
  <Paragraphs>6</Paragraphs>
  <ScaleCrop>false</ScaleCrop>
  <Company>ProSiSoft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Produkt-Nr</dc:title>
  <dc:subject/>
  <dc:creator>ProSiSoft</dc:creator>
  <cp:keywords/>
  <dc:description/>
  <cp:lastModifiedBy>Mansel, Volker</cp:lastModifiedBy>
  <cp:revision>2</cp:revision>
  <dcterms:created xsi:type="dcterms:W3CDTF">2022-05-16T13:04:00Z</dcterms:created>
  <dcterms:modified xsi:type="dcterms:W3CDTF">2022-05-16T13:04:00Z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c8e3cc-a736-432a-b49d-1760e6df93c1_Enabled">
    <vt:lpwstr>true</vt:lpwstr>
  </property>
  <property fmtid="{D5CDD505-2E9C-101B-9397-08002B2CF9AE}" pid="3" name="MSIP_Label_25c8e3cc-a736-432a-b49d-1760e6df93c1_SetDate">
    <vt:lpwstr>2022-03-30T11:44:32Z</vt:lpwstr>
  </property>
  <property fmtid="{D5CDD505-2E9C-101B-9397-08002B2CF9AE}" pid="4" name="MSIP_Label_25c8e3cc-a736-432a-b49d-1760e6df93c1_Method">
    <vt:lpwstr>Privileged</vt:lpwstr>
  </property>
  <property fmtid="{D5CDD505-2E9C-101B-9397-08002B2CF9AE}" pid="5" name="MSIP_Label_25c8e3cc-a736-432a-b49d-1760e6df93c1_Name">
    <vt:lpwstr>Öffentlich</vt:lpwstr>
  </property>
  <property fmtid="{D5CDD505-2E9C-101B-9397-08002B2CF9AE}" pid="6" name="MSIP_Label_25c8e3cc-a736-432a-b49d-1760e6df93c1_SiteId">
    <vt:lpwstr>4f6e342a-b220-4d04-bbbf-b3c8d934399a</vt:lpwstr>
  </property>
  <property fmtid="{D5CDD505-2E9C-101B-9397-08002B2CF9AE}" pid="7" name="MSIP_Label_25c8e3cc-a736-432a-b49d-1760e6df93c1_ActionId">
    <vt:lpwstr>89b26f88-bada-427d-b4d7-e99f1cb3d81e</vt:lpwstr>
  </property>
  <property fmtid="{D5CDD505-2E9C-101B-9397-08002B2CF9AE}" pid="8" name="MSIP_Label_25c8e3cc-a736-432a-b49d-1760e6df93c1_ContentBits">
    <vt:lpwstr>0</vt:lpwstr>
  </property>
  <property fmtid="{D5CDD505-2E9C-101B-9397-08002B2CF9AE}" pid="9" name="ContentTypeId">
    <vt:lpwstr>0x0101002CF07C2DAB3C47499F4C7F5D365DB267</vt:lpwstr>
  </property>
</Properties>
</file>